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2AF1" w:rsidRDefault="005A1BD5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61340" cy="69278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69" t="-621" r="-769" b="-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000"/>
      </w:tblPr>
      <w:tblGrid>
        <w:gridCol w:w="3283"/>
        <w:gridCol w:w="3274"/>
        <w:gridCol w:w="3296"/>
      </w:tblGrid>
      <w:tr w:rsidR="00112AF1">
        <w:tc>
          <w:tcPr>
            <w:tcW w:w="9055" w:type="dxa"/>
            <w:gridSpan w:val="3"/>
          </w:tcPr>
          <w:p w:rsidR="00112AF1" w:rsidRDefault="00456613">
            <w:pPr>
              <w:snapToGrid w:val="0"/>
              <w:jc w:val="center"/>
              <w:rPr>
                <w:b/>
                <w:caps/>
                <w:szCs w:val="28"/>
              </w:rPr>
            </w:pPr>
            <w:r w:rsidRPr="00456613">
              <w:pict>
                <v:line id="Фигура1" o:spid="_x0000_s1026" style="position:absolute;left:0;text-align:left;flip:y;z-index:251657728" from="-4.35pt,68.15pt" to="447.85pt,68.5pt" strokeweight=".79mm">
                  <v:fill o:detectmouseclick="t"/>
                </v:line>
              </w:pict>
            </w:r>
            <w:r w:rsidR="005A1BD5">
              <w:rPr>
                <w:b/>
                <w:caps/>
                <w:szCs w:val="28"/>
              </w:rPr>
              <w:t>Администрация Александровского района</w:t>
            </w:r>
          </w:p>
          <w:p w:rsidR="00112AF1" w:rsidRDefault="005A1BD5">
            <w:pPr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Оренбургской области</w:t>
            </w:r>
          </w:p>
          <w:p w:rsidR="00112AF1" w:rsidRDefault="00112AF1">
            <w:pPr>
              <w:jc w:val="center"/>
              <w:rPr>
                <w:b/>
                <w:szCs w:val="28"/>
              </w:rPr>
            </w:pPr>
          </w:p>
          <w:p w:rsidR="00112AF1" w:rsidRDefault="005A1BD5">
            <w:pPr>
              <w:jc w:val="center"/>
              <w:rPr>
                <w:b/>
                <w:spacing w:val="70"/>
                <w:sz w:val="32"/>
                <w:szCs w:val="32"/>
              </w:rPr>
            </w:pPr>
            <w:r>
              <w:rPr>
                <w:b/>
                <w:spacing w:val="70"/>
                <w:sz w:val="32"/>
                <w:szCs w:val="32"/>
              </w:rPr>
              <w:t>ПОСТАНОВЛЕНИЕ</w:t>
            </w:r>
          </w:p>
        </w:tc>
      </w:tr>
      <w:tr w:rsidR="00112AF1">
        <w:tc>
          <w:tcPr>
            <w:tcW w:w="3017" w:type="dxa"/>
          </w:tcPr>
          <w:p w:rsidR="000C2C8D" w:rsidRDefault="000C2C8D" w:rsidP="000C2C8D">
            <w:pPr>
              <w:rPr>
                <w:szCs w:val="28"/>
              </w:rPr>
            </w:pPr>
          </w:p>
          <w:p w:rsidR="00112AF1" w:rsidRPr="00463972" w:rsidRDefault="00463972" w:rsidP="00BA736F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28.02.2022</w:t>
            </w:r>
          </w:p>
        </w:tc>
        <w:tc>
          <w:tcPr>
            <w:tcW w:w="3009" w:type="dxa"/>
          </w:tcPr>
          <w:p w:rsidR="00112AF1" w:rsidRDefault="00112AF1">
            <w:pPr>
              <w:snapToGrid w:val="0"/>
              <w:jc w:val="center"/>
              <w:rPr>
                <w:szCs w:val="28"/>
              </w:rPr>
            </w:pPr>
          </w:p>
          <w:p w:rsidR="00112AF1" w:rsidRDefault="005A1BD5">
            <w:pPr>
              <w:snapToGri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>. Александровка</w:t>
            </w:r>
          </w:p>
        </w:tc>
        <w:tc>
          <w:tcPr>
            <w:tcW w:w="3029" w:type="dxa"/>
          </w:tcPr>
          <w:p w:rsidR="00112AF1" w:rsidRDefault="00112AF1">
            <w:pPr>
              <w:snapToGrid w:val="0"/>
              <w:jc w:val="center"/>
              <w:rPr>
                <w:rFonts w:eastAsia="Times New Roman" w:cs="Times New Roman"/>
                <w:szCs w:val="28"/>
              </w:rPr>
            </w:pPr>
          </w:p>
          <w:p w:rsidR="00112AF1" w:rsidRPr="00463972" w:rsidRDefault="005A1BD5" w:rsidP="00463972">
            <w:pPr>
              <w:snapToGrid w:val="0"/>
              <w:jc w:val="center"/>
              <w:rPr>
                <w:u w:val="single"/>
              </w:rPr>
            </w:pPr>
            <w:r w:rsidRPr="00463972">
              <w:rPr>
                <w:rFonts w:eastAsia="Times New Roman" w:cs="Times New Roman"/>
                <w:szCs w:val="28"/>
                <w:u w:val="single"/>
              </w:rPr>
              <w:t>№</w:t>
            </w:r>
            <w:r w:rsidR="000C2C8D" w:rsidRPr="00463972">
              <w:rPr>
                <w:rFonts w:eastAsia="Times New Roman" w:cs="Times New Roman"/>
                <w:szCs w:val="28"/>
                <w:u w:val="single"/>
              </w:rPr>
              <w:t xml:space="preserve"> </w:t>
            </w:r>
            <w:r w:rsidR="00463972" w:rsidRPr="00463972">
              <w:rPr>
                <w:rFonts w:eastAsia="Times New Roman" w:cs="Times New Roman"/>
                <w:szCs w:val="28"/>
                <w:u w:val="single"/>
              </w:rPr>
              <w:t>186-п</w:t>
            </w:r>
          </w:p>
        </w:tc>
      </w:tr>
    </w:tbl>
    <w:p w:rsidR="00112AF1" w:rsidRDefault="00112AF1" w:rsidP="00F25191"/>
    <w:p w:rsidR="00637F96" w:rsidRPr="00EC7592" w:rsidRDefault="00637F96" w:rsidP="00637F96">
      <w:pPr>
        <w:jc w:val="center"/>
        <w:rPr>
          <w:szCs w:val="28"/>
        </w:rPr>
      </w:pPr>
      <w:r w:rsidRPr="00EC7592">
        <w:rPr>
          <w:szCs w:val="28"/>
        </w:rPr>
        <w:t>О</w:t>
      </w:r>
      <w:r>
        <w:rPr>
          <w:szCs w:val="28"/>
        </w:rPr>
        <w:t>б утверждении</w:t>
      </w:r>
      <w:r w:rsidRPr="00EC7592">
        <w:rPr>
          <w:szCs w:val="28"/>
        </w:rPr>
        <w:t xml:space="preserve"> </w:t>
      </w:r>
      <w:r w:rsidR="001C6011">
        <w:rPr>
          <w:szCs w:val="28"/>
        </w:rPr>
        <w:t>реестра (</w:t>
      </w:r>
      <w:r w:rsidR="00740464">
        <w:rPr>
          <w:szCs w:val="28"/>
        </w:rPr>
        <w:t>карты</w:t>
      </w:r>
      <w:r w:rsidR="001C6011">
        <w:rPr>
          <w:szCs w:val="28"/>
        </w:rPr>
        <w:t>)</w:t>
      </w:r>
      <w:r w:rsidR="00740464">
        <w:rPr>
          <w:szCs w:val="28"/>
        </w:rPr>
        <w:t xml:space="preserve"> коррупционных рисков, возникающих при осуществлении закупок и плана </w:t>
      </w:r>
      <w:r w:rsidR="001C6011">
        <w:rPr>
          <w:szCs w:val="28"/>
        </w:rPr>
        <w:t xml:space="preserve">(реестра) </w:t>
      </w:r>
      <w:r w:rsidR="00740464">
        <w:rPr>
          <w:szCs w:val="28"/>
        </w:rPr>
        <w:t>мер, направленных на минимизацию коррупционных рисков, возникающих при осуществлении закупок в администрации Александровского района Оренбургской области</w:t>
      </w:r>
    </w:p>
    <w:p w:rsidR="00112AF1" w:rsidRDefault="00112AF1" w:rsidP="00F25191">
      <w:pPr>
        <w:rPr>
          <w:szCs w:val="28"/>
        </w:rPr>
      </w:pPr>
    </w:p>
    <w:p w:rsidR="00112AF1" w:rsidRPr="00637F96" w:rsidRDefault="001C6011" w:rsidP="00711432">
      <w:pPr>
        <w:widowControl/>
        <w:suppressAutoHyphens w:val="0"/>
        <w:overflowPunct/>
        <w:autoSpaceDE w:val="0"/>
        <w:autoSpaceDN w:val="0"/>
        <w:adjustRightInd w:val="0"/>
        <w:ind w:firstLine="709"/>
        <w:rPr>
          <w:rFonts w:eastAsia="NSimSun" w:cs="Times New Roman"/>
          <w:kern w:val="0"/>
          <w:szCs w:val="28"/>
          <w:lang w:bidi="ar-SA"/>
        </w:rPr>
      </w:pPr>
      <w:proofErr w:type="gramStart"/>
      <w:r>
        <w:rPr>
          <w:rFonts w:eastAsia="NSimSun" w:cs="Times New Roman"/>
          <w:kern w:val="0"/>
          <w:szCs w:val="28"/>
          <w:lang w:bidi="ar-SA"/>
        </w:rPr>
        <w:t>Руководствуясь</w:t>
      </w:r>
      <w:r w:rsidR="00740464">
        <w:rPr>
          <w:rFonts w:eastAsia="NSimSun" w:cs="Times New Roman"/>
          <w:kern w:val="0"/>
          <w:szCs w:val="28"/>
          <w:lang w:bidi="ar-SA"/>
        </w:rPr>
        <w:t xml:space="preserve"> </w:t>
      </w:r>
      <w:hyperlink r:id="rId7" w:history="1">
        <w:r w:rsidR="00740464" w:rsidRPr="00740464">
          <w:rPr>
            <w:rStyle w:val="ac"/>
            <w:color w:val="000000"/>
            <w:spacing w:val="3"/>
            <w:szCs w:val="28"/>
            <w:u w:val="none"/>
          </w:rPr>
          <w:t>Федеральным законом</w:t>
        </w:r>
      </w:hyperlink>
      <w:r w:rsidR="00740464" w:rsidRPr="00740464">
        <w:rPr>
          <w:color w:val="000000"/>
          <w:spacing w:val="3"/>
          <w:szCs w:val="28"/>
        </w:rPr>
        <w:t xml:space="preserve"> </w:t>
      </w:r>
      <w:r w:rsidR="00740464" w:rsidRPr="00740464">
        <w:rPr>
          <w:color w:val="000000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0464">
        <w:rPr>
          <w:color w:val="000000"/>
          <w:szCs w:val="28"/>
        </w:rPr>
        <w:t xml:space="preserve">, </w:t>
      </w:r>
      <w:r w:rsidR="00740464">
        <w:rPr>
          <w:szCs w:val="28"/>
        </w:rPr>
        <w:t>методическими рекомендациями</w:t>
      </w:r>
      <w:r w:rsidR="00740464" w:rsidRPr="00D529F7">
        <w:rPr>
          <w:szCs w:val="28"/>
        </w:rPr>
        <w:t xml:space="preserve"> министерства труда и социальной защиты Российской Федерации </w:t>
      </w:r>
      <w:r w:rsidR="00740464">
        <w:rPr>
          <w:szCs w:val="28"/>
        </w:rPr>
        <w:t xml:space="preserve">(утв. 03.10.2020) </w:t>
      </w:r>
      <w:r w:rsidR="00740464" w:rsidRPr="00D529F7">
        <w:rPr>
          <w:szCs w:val="28"/>
        </w:rPr>
        <w:t>по выявлению и минимизации коррупционных рисков при осуществлении закупок товаров, работ, услуг для обеспечения государственных и муниципальных нужд</w:t>
      </w:r>
      <w:r w:rsidR="00740464">
        <w:rPr>
          <w:szCs w:val="28"/>
        </w:rPr>
        <w:t>, во исполнение решений комиссии по координации работы по противодействию коррупции</w:t>
      </w:r>
      <w:proofErr w:type="gramEnd"/>
      <w:r w:rsidR="00740464">
        <w:rPr>
          <w:szCs w:val="28"/>
        </w:rPr>
        <w:t xml:space="preserve"> в Оренбургской области, </w:t>
      </w:r>
      <w:proofErr w:type="gramStart"/>
      <w:r w:rsidR="00740464">
        <w:rPr>
          <w:szCs w:val="28"/>
        </w:rPr>
        <w:t>ч</w:t>
      </w:r>
      <w:proofErr w:type="gramEnd"/>
      <w:r w:rsidR="00740464">
        <w:rPr>
          <w:szCs w:val="28"/>
        </w:rPr>
        <w:t>. 5 ст. 31 Устава муниципального образования Александровский район Оренбургской области</w:t>
      </w:r>
      <w:r w:rsidR="005A1BD5">
        <w:rPr>
          <w:szCs w:val="28"/>
        </w:rPr>
        <w:t>:</w:t>
      </w:r>
    </w:p>
    <w:p w:rsidR="00637F96" w:rsidRDefault="005A1BD5" w:rsidP="00213514">
      <w:pPr>
        <w:numPr>
          <w:ilvl w:val="0"/>
          <w:numId w:val="2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Утвердить </w:t>
      </w:r>
      <w:r w:rsidR="001C6011">
        <w:rPr>
          <w:szCs w:val="28"/>
        </w:rPr>
        <w:t>реестр (</w:t>
      </w:r>
      <w:r w:rsidR="00740464">
        <w:rPr>
          <w:szCs w:val="28"/>
        </w:rPr>
        <w:t>карту</w:t>
      </w:r>
      <w:r w:rsidR="001C6011">
        <w:rPr>
          <w:szCs w:val="28"/>
        </w:rPr>
        <w:t>)</w:t>
      </w:r>
      <w:r w:rsidR="00740464">
        <w:rPr>
          <w:szCs w:val="28"/>
        </w:rPr>
        <w:t xml:space="preserve"> коррупционных рисков, возникающих при осуществлении закупок в администрации Александровского района Оренбургской области</w:t>
      </w:r>
      <w:r w:rsidR="001C6011">
        <w:rPr>
          <w:szCs w:val="28"/>
        </w:rPr>
        <w:t>,</w:t>
      </w:r>
      <w:r w:rsidR="00740464">
        <w:rPr>
          <w:szCs w:val="28"/>
        </w:rPr>
        <w:t xml:space="preserve"> </w:t>
      </w:r>
      <w:r>
        <w:rPr>
          <w:szCs w:val="28"/>
        </w:rPr>
        <w:t xml:space="preserve">согласно приложению </w:t>
      </w:r>
      <w:r w:rsidR="00740464">
        <w:rPr>
          <w:szCs w:val="28"/>
        </w:rPr>
        <w:t xml:space="preserve">№ 1 </w:t>
      </w:r>
      <w:r>
        <w:rPr>
          <w:szCs w:val="28"/>
        </w:rPr>
        <w:t>к настоящему постановлению.</w:t>
      </w:r>
    </w:p>
    <w:p w:rsidR="008A013A" w:rsidRDefault="00740464" w:rsidP="008A013A">
      <w:pPr>
        <w:numPr>
          <w:ilvl w:val="0"/>
          <w:numId w:val="2"/>
        </w:numPr>
        <w:tabs>
          <w:tab w:val="clear" w:pos="142"/>
          <w:tab w:val="num" w:pos="0"/>
        </w:tabs>
        <w:ind w:left="0" w:firstLine="709"/>
        <w:rPr>
          <w:szCs w:val="28"/>
        </w:rPr>
      </w:pPr>
      <w:r>
        <w:rPr>
          <w:szCs w:val="28"/>
        </w:rPr>
        <w:t xml:space="preserve">Утвердить план </w:t>
      </w:r>
      <w:r w:rsidR="001C6011">
        <w:rPr>
          <w:szCs w:val="28"/>
        </w:rPr>
        <w:t xml:space="preserve">(реестр) </w:t>
      </w:r>
      <w:r>
        <w:rPr>
          <w:szCs w:val="28"/>
        </w:rPr>
        <w:t>мер, направленных на минимизацию коррупционных рисков, возникающих при осуществлении закупок в администрации Александровского района Оренбургской области</w:t>
      </w:r>
      <w:r w:rsidR="001C6011">
        <w:rPr>
          <w:szCs w:val="28"/>
        </w:rPr>
        <w:t>,</w:t>
      </w:r>
      <w:r w:rsidRPr="00740464">
        <w:rPr>
          <w:szCs w:val="28"/>
        </w:rPr>
        <w:t xml:space="preserve"> </w:t>
      </w:r>
      <w:r>
        <w:rPr>
          <w:szCs w:val="28"/>
        </w:rPr>
        <w:t>согласно приложению № 2 к настоящему постановлению</w:t>
      </w:r>
      <w:r w:rsidR="008A013A">
        <w:rPr>
          <w:szCs w:val="28"/>
        </w:rPr>
        <w:t>.</w:t>
      </w:r>
    </w:p>
    <w:p w:rsidR="001C6011" w:rsidRPr="008A013A" w:rsidRDefault="001C6011" w:rsidP="008A013A">
      <w:pPr>
        <w:numPr>
          <w:ilvl w:val="0"/>
          <w:numId w:val="2"/>
        </w:numPr>
        <w:tabs>
          <w:tab w:val="clear" w:pos="142"/>
          <w:tab w:val="num" w:pos="0"/>
        </w:tabs>
        <w:ind w:left="0" w:firstLine="709"/>
        <w:rPr>
          <w:szCs w:val="28"/>
        </w:rPr>
      </w:pPr>
      <w:r>
        <w:rPr>
          <w:szCs w:val="28"/>
        </w:rPr>
        <w:t xml:space="preserve">Настоящее постановление разметить на официальном сайте </w:t>
      </w:r>
      <w:r w:rsidRPr="0054621F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Александровский</w:t>
      </w:r>
      <w:r w:rsidRPr="0054621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</w:t>
      </w:r>
      <w:r w:rsidRPr="0054621F">
        <w:rPr>
          <w:color w:val="000000"/>
          <w:szCs w:val="28"/>
        </w:rPr>
        <w:t xml:space="preserve">айон </w:t>
      </w:r>
      <w:r>
        <w:rPr>
          <w:color w:val="000000"/>
          <w:szCs w:val="28"/>
        </w:rPr>
        <w:t>Оренбургской</w:t>
      </w:r>
      <w:r w:rsidRPr="0054621F">
        <w:rPr>
          <w:color w:val="000000"/>
          <w:szCs w:val="28"/>
        </w:rPr>
        <w:t xml:space="preserve"> области</w:t>
      </w:r>
      <w:r w:rsidRPr="0054621F">
        <w:rPr>
          <w:szCs w:val="28"/>
        </w:rPr>
        <w:t xml:space="preserve"> </w:t>
      </w:r>
      <w:r>
        <w:rPr>
          <w:szCs w:val="28"/>
        </w:rPr>
        <w:t>в сети «Интернет».</w:t>
      </w:r>
    </w:p>
    <w:p w:rsidR="00112AF1" w:rsidRDefault="005A1BD5" w:rsidP="00213514">
      <w:pPr>
        <w:numPr>
          <w:ilvl w:val="0"/>
          <w:numId w:val="2"/>
        </w:numPr>
        <w:ind w:left="0" w:firstLine="709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</w:t>
      </w:r>
      <w:r w:rsidR="001B3301">
        <w:rPr>
          <w:szCs w:val="28"/>
        </w:rPr>
        <w:t xml:space="preserve"> </w:t>
      </w:r>
      <w:r w:rsidR="001B3301" w:rsidRPr="00722BBD">
        <w:rPr>
          <w:szCs w:val="28"/>
        </w:rPr>
        <w:t>замест</w:t>
      </w:r>
      <w:r w:rsidR="001B3301">
        <w:rPr>
          <w:szCs w:val="28"/>
        </w:rPr>
        <w:t>ителя главы администрации</w:t>
      </w:r>
      <w:r w:rsidR="001B3301" w:rsidRPr="00722BBD">
        <w:rPr>
          <w:szCs w:val="28"/>
        </w:rPr>
        <w:t xml:space="preserve"> </w:t>
      </w:r>
      <w:r w:rsidR="001B3301">
        <w:rPr>
          <w:szCs w:val="28"/>
        </w:rPr>
        <w:t xml:space="preserve">района </w:t>
      </w:r>
      <w:r w:rsidR="001B3301" w:rsidRPr="00722BBD">
        <w:rPr>
          <w:szCs w:val="28"/>
        </w:rPr>
        <w:t>– руков</w:t>
      </w:r>
      <w:r w:rsidR="001B3301">
        <w:rPr>
          <w:szCs w:val="28"/>
        </w:rPr>
        <w:t>одителя аппарата главы администрации района</w:t>
      </w:r>
      <w:r>
        <w:rPr>
          <w:szCs w:val="28"/>
        </w:rPr>
        <w:t>.</w:t>
      </w:r>
    </w:p>
    <w:p w:rsidR="00112AF1" w:rsidRDefault="005A1BD5" w:rsidP="00213514">
      <w:pPr>
        <w:numPr>
          <w:ilvl w:val="0"/>
          <w:numId w:val="2"/>
        </w:numPr>
        <w:ind w:left="0" w:firstLine="709"/>
        <w:rPr>
          <w:szCs w:val="28"/>
        </w:rPr>
      </w:pPr>
      <w:r>
        <w:rPr>
          <w:szCs w:val="28"/>
        </w:rPr>
        <w:t>Постановление вступает в силу после его обнародования.</w:t>
      </w:r>
    </w:p>
    <w:p w:rsidR="001C6011" w:rsidRDefault="001C6011" w:rsidP="001C6011"/>
    <w:p w:rsidR="00112AF1" w:rsidRPr="002B7A99" w:rsidRDefault="00516945">
      <w:pPr>
        <w:rPr>
          <w:b/>
          <w:szCs w:val="28"/>
        </w:rPr>
      </w:pPr>
      <w:r>
        <w:rPr>
          <w:b/>
          <w:szCs w:val="28"/>
        </w:rPr>
        <w:t>Г</w:t>
      </w:r>
      <w:r w:rsidR="005A1BD5">
        <w:rPr>
          <w:b/>
          <w:szCs w:val="28"/>
        </w:rPr>
        <w:t>лав</w:t>
      </w:r>
      <w:r>
        <w:rPr>
          <w:b/>
          <w:szCs w:val="28"/>
        </w:rPr>
        <w:t>а</w:t>
      </w:r>
      <w:r w:rsidR="005A1BD5">
        <w:rPr>
          <w:b/>
          <w:szCs w:val="28"/>
        </w:rPr>
        <w:t xml:space="preserve"> района</w:t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 w:rsidR="002B7A99">
        <w:rPr>
          <w:b/>
          <w:szCs w:val="28"/>
        </w:rPr>
        <w:t xml:space="preserve">   </w:t>
      </w:r>
      <w:r w:rsidR="005A1BD5">
        <w:rPr>
          <w:b/>
          <w:szCs w:val="28"/>
        </w:rPr>
        <w:tab/>
      </w:r>
      <w:r w:rsidR="005A1BD5">
        <w:rPr>
          <w:b/>
          <w:szCs w:val="28"/>
        </w:rPr>
        <w:tab/>
      </w:r>
      <w:r>
        <w:rPr>
          <w:b/>
          <w:szCs w:val="28"/>
        </w:rPr>
        <w:t xml:space="preserve">      </w:t>
      </w:r>
      <w:r w:rsidR="004D5FA4">
        <w:rPr>
          <w:b/>
          <w:szCs w:val="28"/>
        </w:rPr>
        <w:t xml:space="preserve">        </w:t>
      </w:r>
      <w:r>
        <w:rPr>
          <w:b/>
          <w:szCs w:val="28"/>
        </w:rPr>
        <w:t>С.Н. Гринев</w:t>
      </w:r>
    </w:p>
    <w:p w:rsidR="004D5FA4" w:rsidRDefault="004D5FA4" w:rsidP="00F25191">
      <w:pPr>
        <w:widowControl/>
        <w:overflowPunct/>
        <w:rPr>
          <w:szCs w:val="28"/>
        </w:rPr>
      </w:pPr>
    </w:p>
    <w:p w:rsidR="004D5FA4" w:rsidRDefault="005A1BD5" w:rsidP="00F25191">
      <w:pPr>
        <w:widowControl/>
        <w:overflowPunct/>
        <w:rPr>
          <w:szCs w:val="28"/>
        </w:rPr>
      </w:pPr>
      <w:r>
        <w:rPr>
          <w:szCs w:val="28"/>
        </w:rPr>
        <w:t xml:space="preserve">Разослано: </w:t>
      </w:r>
      <w:r w:rsidR="001B3301">
        <w:rPr>
          <w:szCs w:val="28"/>
        </w:rPr>
        <w:t>Бакланову А.А</w:t>
      </w:r>
      <w:r>
        <w:rPr>
          <w:szCs w:val="28"/>
        </w:rPr>
        <w:t>.,</w:t>
      </w:r>
      <w:r w:rsidR="00516945">
        <w:rPr>
          <w:szCs w:val="28"/>
        </w:rPr>
        <w:t xml:space="preserve"> </w:t>
      </w:r>
      <w:proofErr w:type="spellStart"/>
      <w:r w:rsidR="00516945">
        <w:rPr>
          <w:szCs w:val="28"/>
        </w:rPr>
        <w:t>Бикташевой</w:t>
      </w:r>
      <w:proofErr w:type="spellEnd"/>
      <w:r w:rsidR="00516945">
        <w:rPr>
          <w:szCs w:val="28"/>
        </w:rPr>
        <w:t xml:space="preserve"> О.В</w:t>
      </w:r>
      <w:r w:rsidR="00633DE0">
        <w:rPr>
          <w:szCs w:val="28"/>
        </w:rPr>
        <w:t>.</w:t>
      </w:r>
      <w:r>
        <w:rPr>
          <w:szCs w:val="28"/>
        </w:rPr>
        <w:t>,</w:t>
      </w:r>
      <w:r w:rsidR="004D5FA4">
        <w:rPr>
          <w:szCs w:val="28"/>
        </w:rPr>
        <w:t xml:space="preserve"> Агишевой В.В., </w:t>
      </w:r>
      <w:r>
        <w:rPr>
          <w:szCs w:val="28"/>
        </w:rPr>
        <w:t>прокурору, в дело.</w:t>
      </w:r>
    </w:p>
    <w:p w:rsidR="00F25191" w:rsidRPr="00F25191" w:rsidRDefault="00F25191" w:rsidP="00F25191">
      <w:pPr>
        <w:widowControl/>
        <w:overflowPunct/>
        <w:rPr>
          <w:szCs w:val="28"/>
        </w:rPr>
        <w:sectPr w:rsidR="00F25191" w:rsidRPr="00F25191" w:rsidSect="004D5FA4">
          <w:pgSz w:w="11906" w:h="16838"/>
          <w:pgMar w:top="1134" w:right="851" w:bottom="907" w:left="1418" w:header="0" w:footer="0" w:gutter="0"/>
          <w:cols w:space="720"/>
          <w:formProt w:val="0"/>
          <w:docGrid w:linePitch="312"/>
        </w:sectPr>
      </w:pPr>
    </w:p>
    <w:tbl>
      <w:tblPr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63"/>
        <w:gridCol w:w="5541"/>
      </w:tblGrid>
      <w:tr w:rsidR="00F25191" w:rsidTr="00F25191">
        <w:trPr>
          <w:trHeight w:val="1537"/>
        </w:trPr>
        <w:tc>
          <w:tcPr>
            <w:tcW w:w="9479" w:type="dxa"/>
          </w:tcPr>
          <w:p w:rsidR="00F25191" w:rsidRDefault="00F25191" w:rsidP="00AD4DB0">
            <w:pPr>
              <w:pStyle w:val="a8"/>
              <w:pageBreakBefore/>
              <w:snapToGrid w:val="0"/>
            </w:pPr>
          </w:p>
        </w:tc>
        <w:tc>
          <w:tcPr>
            <w:tcW w:w="5435" w:type="dxa"/>
          </w:tcPr>
          <w:p w:rsidR="00F25191" w:rsidRDefault="00F25191" w:rsidP="00AD4DB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F25191" w:rsidRDefault="00F25191" w:rsidP="00AD4DB0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F25191" w:rsidRDefault="00F25191" w:rsidP="00AD4DB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F25191" w:rsidRDefault="00F25191" w:rsidP="0046397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63972">
              <w:rPr>
                <w:szCs w:val="28"/>
              </w:rPr>
              <w:t>28.02.2022 № 186-п</w:t>
            </w:r>
          </w:p>
        </w:tc>
      </w:tr>
    </w:tbl>
    <w:p w:rsidR="00F25191" w:rsidRPr="00CC381E" w:rsidRDefault="00F25191" w:rsidP="00F25191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Реестр (к</w:t>
      </w:r>
      <w:r w:rsidRPr="00CC381E">
        <w:rPr>
          <w:rFonts w:cs="Times New Roman"/>
          <w:b/>
          <w:szCs w:val="28"/>
        </w:rPr>
        <w:t>арта</w:t>
      </w:r>
      <w:r>
        <w:rPr>
          <w:rFonts w:cs="Times New Roman"/>
          <w:b/>
          <w:szCs w:val="28"/>
        </w:rPr>
        <w:t>)</w:t>
      </w:r>
      <w:r w:rsidRPr="00CC381E">
        <w:rPr>
          <w:rFonts w:cs="Times New Roman"/>
          <w:b/>
          <w:szCs w:val="28"/>
        </w:rPr>
        <w:t xml:space="preserve"> коррупционных рисков, возникающих при осуществлении закупок</w:t>
      </w:r>
      <w:r w:rsidRPr="00A56BF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в администрации Александровского района</w:t>
      </w:r>
      <w:r w:rsidR="00D923F5">
        <w:rPr>
          <w:rFonts w:cs="Times New Roman"/>
          <w:b/>
          <w:szCs w:val="28"/>
        </w:rPr>
        <w:t xml:space="preserve"> </w:t>
      </w:r>
      <w:r w:rsidR="00D923F5" w:rsidRPr="00D923F5">
        <w:rPr>
          <w:b/>
          <w:szCs w:val="28"/>
        </w:rPr>
        <w:t>Оренбургской области</w:t>
      </w:r>
    </w:p>
    <w:p w:rsidR="00F25191" w:rsidRPr="00CC381E" w:rsidRDefault="00F25191" w:rsidP="00F25191">
      <w:pPr>
        <w:jc w:val="center"/>
        <w:rPr>
          <w:rFonts w:cs="Times New Roman"/>
          <w:szCs w:val="28"/>
        </w:rPr>
      </w:pPr>
    </w:p>
    <w:tbl>
      <w:tblPr>
        <w:tblStyle w:val="TableGrid"/>
        <w:tblW w:w="14563" w:type="dxa"/>
        <w:tblInd w:w="-108" w:type="dxa"/>
        <w:tblCellMar>
          <w:top w:w="8" w:type="dxa"/>
          <w:left w:w="108" w:type="dxa"/>
          <w:right w:w="59" w:type="dxa"/>
        </w:tblCellMar>
        <w:tblLook w:val="04A0"/>
      </w:tblPr>
      <w:tblGrid>
        <w:gridCol w:w="591"/>
        <w:gridCol w:w="2704"/>
        <w:gridCol w:w="2640"/>
        <w:gridCol w:w="3520"/>
        <w:gridCol w:w="2773"/>
        <w:gridCol w:w="2335"/>
      </w:tblGrid>
      <w:tr w:rsidR="00D923F5" w:rsidRPr="00A02FFE" w:rsidTr="00AD4DB0">
        <w:trPr>
          <w:trHeight w:val="1131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</w:rPr>
            </w:pPr>
            <w:r w:rsidRPr="00A02FFE">
              <w:rPr>
                <w:rFonts w:cs="Times New Roman"/>
                <w:i/>
                <w:sz w:val="24"/>
                <w:szCs w:val="24"/>
              </w:rPr>
              <w:t xml:space="preserve">№ </w:t>
            </w:r>
          </w:p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</w:rPr>
            </w:pPr>
            <w:r w:rsidRPr="00A02FFE">
              <w:rPr>
                <w:rFonts w:cs="Times New Roman"/>
                <w:i/>
                <w:sz w:val="24"/>
                <w:szCs w:val="24"/>
              </w:rPr>
              <w:t xml:space="preserve">п/п 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F5" w:rsidRPr="00D923F5" w:rsidRDefault="00D923F5" w:rsidP="00D923F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Краткое наименование коррупционного риска </w:t>
            </w:r>
          </w:p>
          <w:p w:rsidR="00F25191" w:rsidRPr="00D923F5" w:rsidRDefault="00F25191" w:rsidP="00AD4DB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F5" w:rsidRPr="00D923F5" w:rsidRDefault="00D923F5" w:rsidP="00D923F5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Описание возможной коррупционной схемы </w:t>
            </w:r>
          </w:p>
          <w:p w:rsidR="00F25191" w:rsidRPr="00D923F5" w:rsidRDefault="00F25191" w:rsidP="00AD4DB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i/>
                <w:sz w:val="24"/>
                <w:szCs w:val="24"/>
                <w:lang w:val="ru-RU"/>
              </w:rPr>
              <w:t xml:space="preserve">Наименование должностей служащих (работников), </w:t>
            </w:r>
          </w:p>
          <w:p w:rsidR="00F25191" w:rsidRPr="00A02FFE" w:rsidRDefault="00F25191" w:rsidP="00AD4DB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A02FFE">
              <w:rPr>
                <w:rFonts w:cs="Times New Roman"/>
                <w:i/>
                <w:sz w:val="24"/>
                <w:szCs w:val="24"/>
                <w:lang w:val="ru-RU"/>
              </w:rPr>
              <w:t xml:space="preserve">которые могут участвовать </w:t>
            </w:r>
            <w:r w:rsidRPr="00A02FFE">
              <w:rPr>
                <w:rFonts w:cs="Times New Roman"/>
                <w:i/>
                <w:sz w:val="24"/>
                <w:szCs w:val="24"/>
                <w:lang w:val="ru-RU"/>
              </w:rPr>
              <w:br/>
              <w:t xml:space="preserve">в реализации коррупционной </w:t>
            </w:r>
            <w:proofErr w:type="gramEnd"/>
          </w:p>
          <w:p w:rsidR="00F25191" w:rsidRPr="00A02FFE" w:rsidRDefault="00D923F5" w:rsidP="00AD4DB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>схемы</w:t>
            </w:r>
            <w:r w:rsidR="00F25191" w:rsidRPr="00A02FFE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i/>
                <w:sz w:val="24"/>
                <w:szCs w:val="24"/>
                <w:lang w:val="ru-RU"/>
              </w:rPr>
              <w:t>Меры по минимизации коррупционных рисков</w:t>
            </w:r>
          </w:p>
        </w:tc>
      </w:tr>
      <w:tr w:rsidR="00D923F5" w:rsidRPr="00A02FFE" w:rsidTr="00AD4DB0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F25191" w:rsidP="00AD4DB0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D923F5" w:rsidP="00D923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Реализуемые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191" w:rsidRPr="00A02FFE" w:rsidRDefault="00D923F5" w:rsidP="00D923F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>Предлагаемые</w:t>
            </w:r>
          </w:p>
        </w:tc>
      </w:tr>
      <w:tr w:rsidR="00D923F5" w:rsidRPr="00A02FFE" w:rsidTr="00AD4DB0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</w:rPr>
            </w:pPr>
            <w:r w:rsidRPr="00A02FF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Обоснование начальных (максимальных) цен контракта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Обязательное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Проведение мониторинга цен на товары, работы и услуги в целях недопущения завышения начальных (максимальных) цен контрактов при осуществлении закупок. Анализ декларации о возможной личной заинтересованности, обязательства о неразглашении конфиденциальной информации, не содержащих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сведений, составляющих государственную тайну. Обобщение имеющейся информации о</w:t>
            </w:r>
          </w:p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A02FFE">
              <w:rPr>
                <w:rFonts w:cs="Times New Roman"/>
                <w:sz w:val="24"/>
                <w:szCs w:val="24"/>
                <w:lang w:val="ru-RU"/>
              </w:rPr>
              <w:t>служащем</w:t>
            </w:r>
            <w:proofErr w:type="gramEnd"/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 (работнике), его близких родственниках. Осуществление антикоррупционной пропаганды.</w:t>
            </w:r>
          </w:p>
        </w:tc>
      </w:tr>
      <w:tr w:rsidR="00D923F5" w:rsidRPr="00A02FFE" w:rsidTr="00AD4DB0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Выбор способа определения поставщика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Неадекватный выбор способа закупки по срокам, цене, объему, особенностям объекта закупки, конкурентоспособности и специфики рынка поставщиков.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Преднамеренная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подмена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одного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способа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закупки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02FFE">
              <w:rPr>
                <w:rFonts w:cs="Times New Roman"/>
                <w:sz w:val="24"/>
                <w:szCs w:val="24"/>
              </w:rPr>
              <w:t>другим</w:t>
            </w:r>
            <w:proofErr w:type="spellEnd"/>
            <w:r w:rsidRPr="00A02FF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Обоснование способа определения поставщика. Определение поставщика преимущественно конкурентными способами.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Внедрение системы эффективного планирования закупок.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родственниках. Осуществление антикоррупционной пропаганды.</w:t>
            </w:r>
          </w:p>
        </w:tc>
      </w:tr>
      <w:tr w:rsidR="00D923F5" w:rsidRPr="00A02FFE" w:rsidTr="00AD4DB0">
        <w:trPr>
          <w:trHeight w:val="3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Выбор способа размещения заказа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Искусственное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Недопустимость необоснованного дробления закупок, влекущего за собой уход от конкурентных процедур.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Проведение мониторинга на предмет выявления неоднократных закупок однородных товаров, работ, услуг.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</w:t>
            </w:r>
          </w:p>
        </w:tc>
      </w:tr>
      <w:tr w:rsidR="00D923F5" w:rsidRPr="00A02FFE" w:rsidTr="00AD4DB0">
        <w:trPr>
          <w:trHeight w:val="3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Подготовка документации на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осуществление закупки товаров, работ, услуг.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Установление необоснованных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преимуще</w:t>
            </w:r>
            <w:proofErr w:type="gramStart"/>
            <w:r w:rsidRPr="00A02FFE">
              <w:rPr>
                <w:rFonts w:cs="Times New Roman"/>
                <w:sz w:val="24"/>
                <w:szCs w:val="24"/>
                <w:lang w:val="ru-RU"/>
              </w:rPr>
              <w:t>ств дл</w:t>
            </w:r>
            <w:proofErr w:type="gramEnd"/>
            <w:r w:rsidRPr="00A02FFE">
              <w:rPr>
                <w:rFonts w:cs="Times New Roman"/>
                <w:sz w:val="24"/>
                <w:szCs w:val="24"/>
                <w:lang w:val="ru-RU"/>
              </w:rPr>
              <w:t>я отдельных лиц при осуществлении закупок товаров, работ, услуг.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Установление единых требований к участникам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закупки, соблюдение правил описания закупки.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Запрет на умышленное,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неправомерное включение в документацию о закупках условий, ограничивающих конкуренцию.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D923F5" w:rsidRPr="00A02FFE" w:rsidTr="00AD4DB0">
        <w:trPr>
          <w:trHeight w:val="3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5</w:t>
            </w:r>
            <w:r w:rsidRPr="00A02FF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Рассмотрение и оценка заявок на участие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Необоснованная дискриминация в отношении поставщиков при рассмотрении и оценке заявок. Необоснованные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преимущества поставщикам. Использование необъявленных или недопустимых критериев оценки заявок, условий допуска к участию в закупке.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Проведение разъяснительной работы среди участников закупок по порядку оформления и подачи заявок.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Приглашение на рассмотрение сотрудников профильных отделов. Анализ декларации о возможной личной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  <w:tr w:rsidR="00D923F5" w:rsidRPr="00A02FFE" w:rsidTr="00AD4DB0">
        <w:trPr>
          <w:trHeight w:val="33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Заключение контракта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Затягивание процедуры обжалования результатов закупки. Необоснованное изменение условий контракта. Затягивание заключения контракта. Необоснованный отказ от заключения контракта.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A02FF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A02FFE" w:rsidRDefault="00A02FFE" w:rsidP="00A21F8C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>Мониторинг заключенных контрактов. Подготовка, сбор и направление проектов контрактов победителям.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A02FFE" w:rsidRDefault="00A02FFE" w:rsidP="00A21F8C">
            <w:pPr>
              <w:contextualSpacing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A02FFE">
              <w:rPr>
                <w:rFonts w:cs="Times New Roman"/>
                <w:sz w:val="24"/>
                <w:szCs w:val="24"/>
                <w:lang w:val="ru-RU"/>
              </w:rPr>
              <w:t xml:space="preserve">Заключение по конкурентным способам.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</w:t>
            </w:r>
            <w:r w:rsidRPr="00A02FFE">
              <w:rPr>
                <w:rFonts w:cs="Times New Roman"/>
                <w:sz w:val="24"/>
                <w:szCs w:val="24"/>
                <w:lang w:val="ru-RU"/>
              </w:rPr>
              <w:lastRenderedPageBreak/>
              <w:t>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</w:tr>
    </w:tbl>
    <w:p w:rsidR="00CC5394" w:rsidRDefault="00CC5394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D923F5" w:rsidP="00F25191">
      <w:pPr>
        <w:jc w:val="center"/>
        <w:rPr>
          <w:rFonts w:eastAsia="NSimSun" w:cs="Times New Roman"/>
          <w:szCs w:val="28"/>
          <w:lang w:bidi="ar-SA"/>
        </w:rPr>
      </w:pPr>
      <w:r>
        <w:rPr>
          <w:rFonts w:eastAsia="NSimSun" w:cs="Times New Roman"/>
          <w:szCs w:val="28"/>
          <w:lang w:bidi="ar-SA"/>
        </w:rPr>
        <w:t>________________</w:t>
      </w: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F25191">
      <w:pPr>
        <w:jc w:val="center"/>
        <w:rPr>
          <w:rFonts w:eastAsia="NSimSun" w:cs="Times New Roman"/>
          <w:szCs w:val="28"/>
          <w:lang w:bidi="ar-SA"/>
        </w:rPr>
      </w:pPr>
    </w:p>
    <w:p w:rsidR="00F25191" w:rsidRDefault="00F25191" w:rsidP="00A02FFE">
      <w:pPr>
        <w:rPr>
          <w:rFonts w:eastAsia="NSimSun" w:cs="Times New Roman"/>
          <w:szCs w:val="28"/>
          <w:lang w:bidi="ar-SA"/>
        </w:rPr>
      </w:pPr>
    </w:p>
    <w:tbl>
      <w:tblPr>
        <w:tblW w:w="5118" w:type="pct"/>
        <w:tblLayout w:type="fixed"/>
        <w:tblCellMar>
          <w:left w:w="0" w:type="dxa"/>
          <w:right w:w="0" w:type="dxa"/>
        </w:tblCellMar>
        <w:tblLook w:val="0000"/>
      </w:tblPr>
      <w:tblGrid>
        <w:gridCol w:w="9663"/>
        <w:gridCol w:w="5541"/>
      </w:tblGrid>
      <w:tr w:rsidR="00F25191" w:rsidTr="00AD4DB0">
        <w:trPr>
          <w:trHeight w:val="1537"/>
        </w:trPr>
        <w:tc>
          <w:tcPr>
            <w:tcW w:w="9479" w:type="dxa"/>
          </w:tcPr>
          <w:p w:rsidR="00F25191" w:rsidRDefault="00F25191" w:rsidP="00AD4DB0">
            <w:pPr>
              <w:pStyle w:val="a8"/>
              <w:pageBreakBefore/>
              <w:snapToGrid w:val="0"/>
            </w:pPr>
          </w:p>
        </w:tc>
        <w:tc>
          <w:tcPr>
            <w:tcW w:w="5435" w:type="dxa"/>
          </w:tcPr>
          <w:p w:rsidR="00F25191" w:rsidRDefault="00F25191" w:rsidP="00AD4DB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F25191" w:rsidRDefault="00F25191" w:rsidP="00AD4DB0">
            <w:pPr>
              <w:jc w:val="left"/>
            </w:pPr>
            <w:r>
              <w:rPr>
                <w:szCs w:val="28"/>
              </w:rPr>
              <w:t>к постановлению</w:t>
            </w:r>
          </w:p>
          <w:p w:rsidR="00F25191" w:rsidRDefault="00F25191" w:rsidP="00AD4DB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района</w:t>
            </w:r>
          </w:p>
          <w:p w:rsidR="00F25191" w:rsidRDefault="00F25191" w:rsidP="0046397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463972">
              <w:rPr>
                <w:szCs w:val="28"/>
              </w:rPr>
              <w:t>28.02.2022 № 186-п</w:t>
            </w:r>
          </w:p>
        </w:tc>
      </w:tr>
    </w:tbl>
    <w:p w:rsidR="00F25191" w:rsidRPr="00363535" w:rsidRDefault="00F25191" w:rsidP="00F25191">
      <w:pPr>
        <w:jc w:val="center"/>
        <w:rPr>
          <w:rFonts w:cs="Times New Roman"/>
          <w:b/>
          <w:szCs w:val="28"/>
        </w:rPr>
      </w:pPr>
      <w:r w:rsidRPr="00363535">
        <w:rPr>
          <w:rFonts w:cs="Times New Roman"/>
          <w:b/>
          <w:szCs w:val="28"/>
        </w:rPr>
        <w:t xml:space="preserve">План </w:t>
      </w:r>
      <w:r>
        <w:rPr>
          <w:rFonts w:cs="Times New Roman"/>
          <w:b/>
          <w:szCs w:val="28"/>
        </w:rPr>
        <w:t xml:space="preserve">(реестр) </w:t>
      </w:r>
      <w:r w:rsidRPr="00363535">
        <w:rPr>
          <w:rFonts w:cs="Times New Roman"/>
          <w:b/>
          <w:szCs w:val="28"/>
        </w:rPr>
        <w:t xml:space="preserve">мер, направленных на минимизацию коррупционных рисков, </w:t>
      </w:r>
    </w:p>
    <w:p w:rsidR="00F25191" w:rsidRPr="00363535" w:rsidRDefault="00F25191" w:rsidP="00F25191">
      <w:pPr>
        <w:jc w:val="center"/>
        <w:rPr>
          <w:rFonts w:cs="Times New Roman"/>
          <w:b/>
          <w:szCs w:val="28"/>
        </w:rPr>
      </w:pPr>
      <w:r w:rsidRPr="00363535">
        <w:rPr>
          <w:rFonts w:cs="Times New Roman"/>
          <w:b/>
          <w:szCs w:val="28"/>
        </w:rPr>
        <w:t>возникающих при осуществлении закупок</w:t>
      </w:r>
      <w:r>
        <w:rPr>
          <w:rFonts w:cs="Times New Roman"/>
          <w:b/>
          <w:szCs w:val="28"/>
        </w:rPr>
        <w:t xml:space="preserve"> в администрации Александровского района</w:t>
      </w:r>
      <w:r w:rsidR="00D923F5">
        <w:rPr>
          <w:rFonts w:cs="Times New Roman"/>
          <w:b/>
          <w:szCs w:val="28"/>
        </w:rPr>
        <w:t xml:space="preserve"> </w:t>
      </w:r>
      <w:r w:rsidR="00D923F5" w:rsidRPr="00D923F5">
        <w:rPr>
          <w:b/>
          <w:szCs w:val="28"/>
        </w:rPr>
        <w:t>Оренбургской области</w:t>
      </w:r>
    </w:p>
    <w:p w:rsidR="00F25191" w:rsidRDefault="00F25191" w:rsidP="00F25191"/>
    <w:tbl>
      <w:tblPr>
        <w:tblStyle w:val="TableGrid"/>
        <w:tblW w:w="14563" w:type="dxa"/>
        <w:tblInd w:w="-108" w:type="dxa"/>
        <w:tblCellMar>
          <w:top w:w="8" w:type="dxa"/>
          <w:right w:w="57" w:type="dxa"/>
        </w:tblCellMar>
        <w:tblLook w:val="04A0"/>
      </w:tblPr>
      <w:tblGrid>
        <w:gridCol w:w="616"/>
        <w:gridCol w:w="3349"/>
        <w:gridCol w:w="3260"/>
        <w:gridCol w:w="2410"/>
        <w:gridCol w:w="2979"/>
        <w:gridCol w:w="1949"/>
      </w:tblGrid>
      <w:tr w:rsidR="00A02FFE" w:rsidRPr="00D33604" w:rsidTr="00A21F8C">
        <w:trPr>
          <w:trHeight w:val="97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spacing w:after="16" w:line="259" w:lineRule="auto"/>
              <w:ind w:left="175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i/>
                <w:sz w:val="24"/>
                <w:szCs w:val="24"/>
              </w:rPr>
              <w:t xml:space="preserve">№ </w:t>
            </w:r>
          </w:p>
          <w:p w:rsidR="00A02FFE" w:rsidRPr="00D33604" w:rsidRDefault="00A02FFE" w:rsidP="00A21F8C">
            <w:pPr>
              <w:spacing w:line="259" w:lineRule="auto"/>
              <w:ind w:left="130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i/>
                <w:sz w:val="24"/>
                <w:szCs w:val="24"/>
              </w:rPr>
              <w:t xml:space="preserve">п/п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spacing w:after="54" w:line="237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i/>
                <w:sz w:val="24"/>
                <w:szCs w:val="24"/>
                <w:lang w:val="ru-RU"/>
              </w:rPr>
              <w:t xml:space="preserve">Наименование меры по минимизации </w:t>
            </w:r>
          </w:p>
          <w:p w:rsidR="00A02FFE" w:rsidRPr="00D33604" w:rsidRDefault="00A02FFE" w:rsidP="00A21F8C">
            <w:pPr>
              <w:spacing w:line="259" w:lineRule="auto"/>
              <w:ind w:left="57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i/>
                <w:sz w:val="24"/>
                <w:szCs w:val="24"/>
                <w:lang w:val="ru-RU"/>
              </w:rPr>
              <w:t xml:space="preserve">коррупционных рисков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F5" w:rsidRDefault="00D923F5" w:rsidP="00D923F5">
            <w:pPr>
              <w:spacing w:line="259" w:lineRule="auto"/>
              <w:jc w:val="center"/>
              <w:rPr>
                <w:rFonts w:cs="Times New Roman"/>
                <w:i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Краткое наименование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val="ru-RU"/>
              </w:rPr>
              <w:t>минимизируемого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A02FFE" w:rsidRPr="00D33604" w:rsidRDefault="00A02FFE" w:rsidP="00D923F5">
            <w:pPr>
              <w:spacing w:line="259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i/>
                <w:sz w:val="24"/>
                <w:szCs w:val="24"/>
                <w:lang w:val="ru-RU"/>
              </w:rPr>
              <w:t xml:space="preserve">коррупционного риска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3F5" w:rsidRPr="00D923F5" w:rsidRDefault="00D923F5" w:rsidP="00D923F5">
            <w:pPr>
              <w:spacing w:line="259" w:lineRule="auto"/>
              <w:ind w:left="61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i/>
                <w:sz w:val="24"/>
                <w:szCs w:val="24"/>
                <w:lang w:val="ru-RU"/>
              </w:rPr>
              <w:t xml:space="preserve">Срок (периодичность) реализации </w:t>
            </w:r>
          </w:p>
          <w:p w:rsidR="00A02FFE" w:rsidRPr="00D923F5" w:rsidRDefault="00A02FFE" w:rsidP="00A21F8C">
            <w:pPr>
              <w:spacing w:line="259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spacing w:line="259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i/>
                <w:sz w:val="24"/>
                <w:szCs w:val="24"/>
                <w:lang w:val="ru-RU"/>
              </w:rPr>
              <w:t xml:space="preserve">Ответственный за реализацию служащий (работник) 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923F5" w:rsidRDefault="00D923F5" w:rsidP="00A21F8C">
            <w:pPr>
              <w:spacing w:line="259" w:lineRule="auto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Планируемый результат</w:t>
            </w:r>
          </w:p>
        </w:tc>
      </w:tr>
      <w:tr w:rsidR="00A02FFE" w:rsidRPr="00D33604" w:rsidTr="00A21F8C">
        <w:trPr>
          <w:trHeight w:val="3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923F5" w:rsidRDefault="00D923F5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106296">
              <w:rPr>
                <w:rFonts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1.Проведение мониторинга цен на товары, работы и услуги в целях недопущения завышения начальных (максимальных) цен контрактов при осуществлении закупок. </w:t>
            </w:r>
          </w:p>
          <w:p w:rsidR="00A02FFE" w:rsidRPr="00D33604" w:rsidRDefault="00A02FFE" w:rsidP="00A21F8C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</w:t>
            </w:r>
          </w:p>
          <w:p w:rsidR="00A02FFE" w:rsidRPr="00D33604" w:rsidRDefault="00A02FFE" w:rsidP="00A21F8C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D33604">
              <w:rPr>
                <w:rFonts w:cs="Times New Roman"/>
                <w:sz w:val="24"/>
                <w:szCs w:val="24"/>
                <w:lang w:val="ru-RU"/>
              </w:rPr>
              <w:t>служащем</w:t>
            </w:r>
            <w:proofErr w:type="gramEnd"/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 (работнике), его близких родственниках. Осуществление антикоррупционной пропаганды.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Обоснование начальных (максимальных) цен контрактов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1. </w:t>
            </w:r>
            <w:r w:rsidR="00D923F5">
              <w:rPr>
                <w:rFonts w:cs="Times New Roman"/>
                <w:sz w:val="24"/>
                <w:szCs w:val="24"/>
                <w:lang w:val="ru-RU"/>
              </w:rPr>
              <w:t>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Минимизация коррупции</w:t>
            </w:r>
          </w:p>
        </w:tc>
      </w:tr>
      <w:tr w:rsidR="00A02FFE" w:rsidRPr="00D33604" w:rsidTr="00A21F8C">
        <w:trPr>
          <w:trHeight w:val="3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1. Внедрение системы эффективного планирования закупок. </w:t>
            </w:r>
          </w:p>
          <w:p w:rsidR="00A02FFE" w:rsidRPr="00D33604" w:rsidRDefault="00A02FFE" w:rsidP="00A21F8C">
            <w:pPr>
              <w:contextualSpacing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Выбор способа определения поставщика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Минимизация коррупции </w:t>
            </w:r>
          </w:p>
        </w:tc>
      </w:tr>
      <w:tr w:rsidR="00A02FFE" w:rsidRPr="00D33604" w:rsidTr="00A21F8C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1.Проведение мониторинга на предмет выявления неоднократных закупок однородных товаров, работ, услуг. </w:t>
            </w:r>
          </w:p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</w:t>
            </w: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антикоррупционной пропаганды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Выбор способа размещения заказа 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Минимизация коррупции</w:t>
            </w:r>
          </w:p>
        </w:tc>
      </w:tr>
      <w:tr w:rsidR="00A02FFE" w:rsidRPr="00D33604" w:rsidTr="00A21F8C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1. Запрет на умышленное, неправомерное включение в документацию о закупках условий, ограничивающих конкуренцию. </w:t>
            </w:r>
          </w:p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Подготовка документации на осуществление закупки товаров, работ, услуг.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Минимизация коррупции</w:t>
            </w:r>
          </w:p>
        </w:tc>
      </w:tr>
      <w:tr w:rsidR="00A02FFE" w:rsidRPr="00D33604" w:rsidTr="00A21F8C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Приглашение на рассмотрение сотрудников профильных отделов.</w:t>
            </w:r>
          </w:p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 xml:space="preserve"> 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</w:t>
            </w: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(работнике), его близких родственниках. Осуществление антикоррупционной пропаганды.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Рассмотрение и оценка заявок на участие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Минимизация коррупции</w:t>
            </w:r>
          </w:p>
        </w:tc>
      </w:tr>
      <w:tr w:rsidR="00A02FFE" w:rsidRPr="00D33604" w:rsidTr="00A21F8C">
        <w:trPr>
          <w:trHeight w:val="3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Заключение по конкурентным способам. 2. Анализ декларации о возможной личной заинтересованности, обязательства о неразглашении конфиденциальной информации, не содержащих сведений, составляющих государственную тайну. Обобщение имеющейся информации о служащем (работнике), его близких родственниках. Осуществление антикоррупционной пропаганды.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Заключение контракта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1. Постоянно</w:t>
            </w: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2. Постоянно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осуществление закупок</w:t>
            </w:r>
          </w:p>
          <w:p w:rsidR="00A02FFE" w:rsidRPr="00D33604" w:rsidRDefault="00A02FFE" w:rsidP="00A21F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D33604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Специалист, ответственный за профилактику коррупционных правонарушений при осуществлении закупок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FFE" w:rsidRPr="00D33604" w:rsidRDefault="00A02FFE" w:rsidP="00A21F8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3604">
              <w:rPr>
                <w:rFonts w:cs="Times New Roman"/>
                <w:sz w:val="24"/>
                <w:szCs w:val="24"/>
                <w:lang w:val="ru-RU"/>
              </w:rPr>
              <w:t>Минимизация коррупции</w:t>
            </w:r>
          </w:p>
        </w:tc>
      </w:tr>
    </w:tbl>
    <w:p w:rsidR="00F25191" w:rsidRDefault="00F25191" w:rsidP="00F25191">
      <w:pPr>
        <w:rPr>
          <w:rFonts w:eastAsia="NSimSun" w:cs="Times New Roman"/>
          <w:szCs w:val="28"/>
          <w:lang w:bidi="ar-SA"/>
        </w:rPr>
      </w:pPr>
    </w:p>
    <w:p w:rsidR="00D923F5" w:rsidRPr="00F25191" w:rsidRDefault="00D923F5" w:rsidP="00D923F5">
      <w:pPr>
        <w:jc w:val="center"/>
        <w:rPr>
          <w:rFonts w:eastAsia="NSimSun" w:cs="Times New Roman"/>
          <w:szCs w:val="28"/>
          <w:lang w:bidi="ar-SA"/>
        </w:rPr>
      </w:pPr>
      <w:r>
        <w:rPr>
          <w:rFonts w:eastAsia="NSimSun" w:cs="Times New Roman"/>
          <w:szCs w:val="28"/>
          <w:lang w:bidi="ar-SA"/>
        </w:rPr>
        <w:t>_________________</w:t>
      </w:r>
    </w:p>
    <w:sectPr w:rsidR="00D923F5" w:rsidRPr="00F25191" w:rsidSect="00F25191">
      <w:pgSz w:w="16838" w:h="11906" w:orient="landscape"/>
      <w:pgMar w:top="1134" w:right="851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74DD"/>
    <w:multiLevelType w:val="multilevel"/>
    <w:tmpl w:val="F8BA919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E6DC7"/>
    <w:multiLevelType w:val="multilevel"/>
    <w:tmpl w:val="68F05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156749"/>
    <w:multiLevelType w:val="multilevel"/>
    <w:tmpl w:val="72DE1704"/>
    <w:lvl w:ilvl="0">
      <w:start w:val="1"/>
      <w:numFmt w:val="decimal"/>
      <w:suff w:val="space"/>
      <w:lvlText w:val="%1."/>
      <w:lvlJc w:val="left"/>
      <w:pPr>
        <w:tabs>
          <w:tab w:val="num" w:pos="142"/>
        </w:tabs>
        <w:ind w:left="851" w:firstLine="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drawingGridHorizontalSpacing w:val="140"/>
  <w:displayHorizontalDrawingGridEvery w:val="2"/>
  <w:characterSpacingControl w:val="doNotCompress"/>
  <w:compat>
    <w:useFELayout/>
  </w:compat>
  <w:rsids>
    <w:rsidRoot w:val="00112AF1"/>
    <w:rsid w:val="00023DBA"/>
    <w:rsid w:val="000A126B"/>
    <w:rsid w:val="000A3CA2"/>
    <w:rsid w:val="000A556D"/>
    <w:rsid w:val="000B34F2"/>
    <w:rsid w:val="000C2C8D"/>
    <w:rsid w:val="000D3A0A"/>
    <w:rsid w:val="000E1C64"/>
    <w:rsid w:val="00106296"/>
    <w:rsid w:val="00111F07"/>
    <w:rsid w:val="00112AF1"/>
    <w:rsid w:val="001374AA"/>
    <w:rsid w:val="001544A3"/>
    <w:rsid w:val="001608FD"/>
    <w:rsid w:val="001A5092"/>
    <w:rsid w:val="001B3301"/>
    <w:rsid w:val="001C6011"/>
    <w:rsid w:val="001C6E0E"/>
    <w:rsid w:val="001E0237"/>
    <w:rsid w:val="001F0AD2"/>
    <w:rsid w:val="0021072B"/>
    <w:rsid w:val="00213514"/>
    <w:rsid w:val="00222624"/>
    <w:rsid w:val="002B7A99"/>
    <w:rsid w:val="003178EC"/>
    <w:rsid w:val="00421CF2"/>
    <w:rsid w:val="00456613"/>
    <w:rsid w:val="00463972"/>
    <w:rsid w:val="004C12FA"/>
    <w:rsid w:val="004D5FA4"/>
    <w:rsid w:val="00516945"/>
    <w:rsid w:val="00524793"/>
    <w:rsid w:val="00585286"/>
    <w:rsid w:val="005A1BD5"/>
    <w:rsid w:val="005B5B64"/>
    <w:rsid w:val="005C5133"/>
    <w:rsid w:val="00633DE0"/>
    <w:rsid w:val="00637F96"/>
    <w:rsid w:val="00664891"/>
    <w:rsid w:val="00672CAF"/>
    <w:rsid w:val="00697569"/>
    <w:rsid w:val="00697EC9"/>
    <w:rsid w:val="006C1DD1"/>
    <w:rsid w:val="006D0BEE"/>
    <w:rsid w:val="006E08C2"/>
    <w:rsid w:val="006E38F8"/>
    <w:rsid w:val="00701BD3"/>
    <w:rsid w:val="00711432"/>
    <w:rsid w:val="00735361"/>
    <w:rsid w:val="00740464"/>
    <w:rsid w:val="00750952"/>
    <w:rsid w:val="007512DD"/>
    <w:rsid w:val="007606A8"/>
    <w:rsid w:val="0079570E"/>
    <w:rsid w:val="007A4BD2"/>
    <w:rsid w:val="00813E5C"/>
    <w:rsid w:val="00864B23"/>
    <w:rsid w:val="008964BE"/>
    <w:rsid w:val="008A013A"/>
    <w:rsid w:val="008F15E9"/>
    <w:rsid w:val="009042CF"/>
    <w:rsid w:val="009D4A6F"/>
    <w:rsid w:val="00A02FFE"/>
    <w:rsid w:val="00A23E2C"/>
    <w:rsid w:val="00A24731"/>
    <w:rsid w:val="00B20097"/>
    <w:rsid w:val="00B76B01"/>
    <w:rsid w:val="00B87CD5"/>
    <w:rsid w:val="00BA736F"/>
    <w:rsid w:val="00C20F11"/>
    <w:rsid w:val="00C2770A"/>
    <w:rsid w:val="00C458EE"/>
    <w:rsid w:val="00C573ED"/>
    <w:rsid w:val="00C83644"/>
    <w:rsid w:val="00C93978"/>
    <w:rsid w:val="00CC15FB"/>
    <w:rsid w:val="00CC5394"/>
    <w:rsid w:val="00CD376F"/>
    <w:rsid w:val="00D0120B"/>
    <w:rsid w:val="00D0441F"/>
    <w:rsid w:val="00D22711"/>
    <w:rsid w:val="00D923F5"/>
    <w:rsid w:val="00DE19EC"/>
    <w:rsid w:val="00DF247B"/>
    <w:rsid w:val="00E35B20"/>
    <w:rsid w:val="00E41535"/>
    <w:rsid w:val="00ED0222"/>
    <w:rsid w:val="00F014E0"/>
    <w:rsid w:val="00F25191"/>
    <w:rsid w:val="00F34A0F"/>
    <w:rsid w:val="00F824B5"/>
    <w:rsid w:val="00FA3EF2"/>
    <w:rsid w:val="00FA502E"/>
    <w:rsid w:val="00FB3340"/>
    <w:rsid w:val="00FC06ED"/>
    <w:rsid w:val="00FF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1"/>
    <w:pPr>
      <w:widowControl w:val="0"/>
      <w:overflowPunct w:val="0"/>
      <w:jc w:val="both"/>
    </w:pPr>
    <w:rPr>
      <w:rFonts w:ascii="Times New Roman" w:eastAsia="SimSun" w:hAnsi="Times New Roman" w:cs="Mangal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112AF1"/>
    <w:pPr>
      <w:numPr>
        <w:numId w:val="1"/>
      </w:numPr>
      <w:spacing w:line="100" w:lineRule="atLeast"/>
      <w:ind w:left="0" w:firstLine="0"/>
      <w:jc w:val="left"/>
      <w:outlineLvl w:val="0"/>
    </w:pPr>
    <w:rPr>
      <w:rFonts w:eastAsia="Times New Roman" w:cs="Times New Roman"/>
      <w:b/>
      <w:bCs/>
      <w:color w:val="000000"/>
      <w:sz w:val="24"/>
    </w:rPr>
  </w:style>
  <w:style w:type="character" w:customStyle="1" w:styleId="WW8Num1z0">
    <w:name w:val="WW8Num1z0"/>
    <w:qFormat/>
    <w:rsid w:val="00112AF1"/>
  </w:style>
  <w:style w:type="character" w:customStyle="1" w:styleId="WW8Num1z1">
    <w:name w:val="WW8Num1z1"/>
    <w:qFormat/>
    <w:rsid w:val="00112AF1"/>
  </w:style>
  <w:style w:type="character" w:customStyle="1" w:styleId="WW8Num1z2">
    <w:name w:val="WW8Num1z2"/>
    <w:qFormat/>
    <w:rsid w:val="00112AF1"/>
  </w:style>
  <w:style w:type="character" w:customStyle="1" w:styleId="WW8Num1z3">
    <w:name w:val="WW8Num1z3"/>
    <w:qFormat/>
    <w:rsid w:val="00112AF1"/>
  </w:style>
  <w:style w:type="character" w:customStyle="1" w:styleId="WW8Num1z4">
    <w:name w:val="WW8Num1z4"/>
    <w:qFormat/>
    <w:rsid w:val="00112AF1"/>
  </w:style>
  <w:style w:type="character" w:customStyle="1" w:styleId="WW8Num1z5">
    <w:name w:val="WW8Num1z5"/>
    <w:qFormat/>
    <w:rsid w:val="00112AF1"/>
  </w:style>
  <w:style w:type="character" w:customStyle="1" w:styleId="WW8Num1z6">
    <w:name w:val="WW8Num1z6"/>
    <w:qFormat/>
    <w:rsid w:val="00112AF1"/>
  </w:style>
  <w:style w:type="character" w:customStyle="1" w:styleId="WW8Num1z7">
    <w:name w:val="WW8Num1z7"/>
    <w:qFormat/>
    <w:rsid w:val="00112AF1"/>
  </w:style>
  <w:style w:type="character" w:customStyle="1" w:styleId="WW8Num1z8">
    <w:name w:val="WW8Num1z8"/>
    <w:qFormat/>
    <w:rsid w:val="00112AF1"/>
  </w:style>
  <w:style w:type="character" w:customStyle="1" w:styleId="WW8Num2z0">
    <w:name w:val="WW8Num2z0"/>
    <w:qFormat/>
    <w:rsid w:val="00112AF1"/>
  </w:style>
  <w:style w:type="character" w:customStyle="1" w:styleId="WW8Num2z1">
    <w:name w:val="WW8Num2z1"/>
    <w:qFormat/>
    <w:rsid w:val="00112AF1"/>
  </w:style>
  <w:style w:type="character" w:customStyle="1" w:styleId="WW8Num2z2">
    <w:name w:val="WW8Num2z2"/>
    <w:qFormat/>
    <w:rsid w:val="00112AF1"/>
  </w:style>
  <w:style w:type="character" w:customStyle="1" w:styleId="WW8Num2z3">
    <w:name w:val="WW8Num2z3"/>
    <w:qFormat/>
    <w:rsid w:val="00112AF1"/>
  </w:style>
  <w:style w:type="character" w:customStyle="1" w:styleId="WW8Num2z4">
    <w:name w:val="WW8Num2z4"/>
    <w:qFormat/>
    <w:rsid w:val="00112AF1"/>
  </w:style>
  <w:style w:type="character" w:customStyle="1" w:styleId="WW8Num2z5">
    <w:name w:val="WW8Num2z5"/>
    <w:qFormat/>
    <w:rsid w:val="00112AF1"/>
  </w:style>
  <w:style w:type="character" w:customStyle="1" w:styleId="WW8Num2z6">
    <w:name w:val="WW8Num2z6"/>
    <w:qFormat/>
    <w:rsid w:val="00112AF1"/>
  </w:style>
  <w:style w:type="character" w:customStyle="1" w:styleId="WW8Num2z7">
    <w:name w:val="WW8Num2z7"/>
    <w:qFormat/>
    <w:rsid w:val="00112AF1"/>
  </w:style>
  <w:style w:type="character" w:customStyle="1" w:styleId="WW8Num2z8">
    <w:name w:val="WW8Num2z8"/>
    <w:qFormat/>
    <w:rsid w:val="00112AF1"/>
  </w:style>
  <w:style w:type="character" w:customStyle="1" w:styleId="WW8Num3z0">
    <w:name w:val="WW8Num3z0"/>
    <w:qFormat/>
    <w:rsid w:val="00112AF1"/>
    <w:rPr>
      <w:sz w:val="28"/>
      <w:szCs w:val="28"/>
    </w:rPr>
  </w:style>
  <w:style w:type="character" w:customStyle="1" w:styleId="WW8Num3z1">
    <w:name w:val="WW8Num3z1"/>
    <w:qFormat/>
    <w:rsid w:val="00112AF1"/>
  </w:style>
  <w:style w:type="character" w:customStyle="1" w:styleId="WW8Num3z2">
    <w:name w:val="WW8Num3z2"/>
    <w:qFormat/>
    <w:rsid w:val="00112AF1"/>
  </w:style>
  <w:style w:type="character" w:customStyle="1" w:styleId="WW8Num3z3">
    <w:name w:val="WW8Num3z3"/>
    <w:qFormat/>
    <w:rsid w:val="00112AF1"/>
  </w:style>
  <w:style w:type="character" w:customStyle="1" w:styleId="WW8Num3z4">
    <w:name w:val="WW8Num3z4"/>
    <w:qFormat/>
    <w:rsid w:val="00112AF1"/>
  </w:style>
  <w:style w:type="character" w:customStyle="1" w:styleId="WW8Num3z5">
    <w:name w:val="WW8Num3z5"/>
    <w:qFormat/>
    <w:rsid w:val="00112AF1"/>
  </w:style>
  <w:style w:type="character" w:customStyle="1" w:styleId="WW8Num3z6">
    <w:name w:val="WW8Num3z6"/>
    <w:qFormat/>
    <w:rsid w:val="00112AF1"/>
  </w:style>
  <w:style w:type="character" w:customStyle="1" w:styleId="WW8Num3z7">
    <w:name w:val="WW8Num3z7"/>
    <w:qFormat/>
    <w:rsid w:val="00112AF1"/>
  </w:style>
  <w:style w:type="character" w:customStyle="1" w:styleId="WW8Num3z8">
    <w:name w:val="WW8Num3z8"/>
    <w:qFormat/>
    <w:rsid w:val="00112AF1"/>
  </w:style>
  <w:style w:type="character" w:customStyle="1" w:styleId="WW8Num4z0">
    <w:name w:val="WW8Num4z0"/>
    <w:qFormat/>
    <w:rsid w:val="00112AF1"/>
    <w:rPr>
      <w:sz w:val="28"/>
      <w:szCs w:val="28"/>
    </w:rPr>
  </w:style>
  <w:style w:type="character" w:customStyle="1" w:styleId="Absatz-Standardschriftart">
    <w:name w:val="Absatz-Standardschriftart"/>
    <w:qFormat/>
    <w:rsid w:val="00112AF1"/>
  </w:style>
  <w:style w:type="character" w:customStyle="1" w:styleId="WW-Absatz-Standardschriftart">
    <w:name w:val="WW-Absatz-Standardschriftart"/>
    <w:qFormat/>
    <w:rsid w:val="00112AF1"/>
  </w:style>
  <w:style w:type="character" w:customStyle="1" w:styleId="WW-Absatz-Standardschriftart1">
    <w:name w:val="WW-Absatz-Standardschriftart1"/>
    <w:qFormat/>
    <w:rsid w:val="00112AF1"/>
  </w:style>
  <w:style w:type="character" w:customStyle="1" w:styleId="WW-Absatz-Standardschriftart11">
    <w:name w:val="WW-Absatz-Standardschriftart11"/>
    <w:qFormat/>
    <w:rsid w:val="00112AF1"/>
  </w:style>
  <w:style w:type="character" w:customStyle="1" w:styleId="WW-Absatz-Standardschriftart111">
    <w:name w:val="WW-Absatz-Standardschriftart111"/>
    <w:qFormat/>
    <w:rsid w:val="00112AF1"/>
  </w:style>
  <w:style w:type="character" w:customStyle="1" w:styleId="WW-Absatz-Standardschriftart1111">
    <w:name w:val="WW-Absatz-Standardschriftart1111"/>
    <w:qFormat/>
    <w:rsid w:val="00112AF1"/>
  </w:style>
  <w:style w:type="character" w:customStyle="1" w:styleId="WW-Absatz-Standardschriftart11111">
    <w:name w:val="WW-Absatz-Standardschriftart11111"/>
    <w:qFormat/>
    <w:rsid w:val="00112AF1"/>
  </w:style>
  <w:style w:type="character" w:customStyle="1" w:styleId="WW-Absatz-Standardschriftart111111">
    <w:name w:val="WW-Absatz-Standardschriftart111111"/>
    <w:qFormat/>
    <w:rsid w:val="00112AF1"/>
  </w:style>
  <w:style w:type="character" w:customStyle="1" w:styleId="a3">
    <w:name w:val="Символ нумерации"/>
    <w:qFormat/>
    <w:rsid w:val="00112AF1"/>
    <w:rPr>
      <w:sz w:val="28"/>
      <w:szCs w:val="28"/>
    </w:rPr>
  </w:style>
  <w:style w:type="paragraph" w:customStyle="1" w:styleId="a4">
    <w:name w:val="Заголовок"/>
    <w:basedOn w:val="a"/>
    <w:next w:val="a5"/>
    <w:qFormat/>
    <w:rsid w:val="00112AF1"/>
    <w:pPr>
      <w:keepNext/>
      <w:spacing w:before="240" w:after="120"/>
    </w:pPr>
    <w:rPr>
      <w:rFonts w:ascii="Arial" w:eastAsia="Microsoft YaHei" w:hAnsi="Arial"/>
      <w:szCs w:val="28"/>
    </w:rPr>
  </w:style>
  <w:style w:type="paragraph" w:styleId="a5">
    <w:name w:val="Body Text"/>
    <w:basedOn w:val="a"/>
    <w:rsid w:val="00112AF1"/>
    <w:pPr>
      <w:spacing w:after="120"/>
    </w:pPr>
  </w:style>
  <w:style w:type="paragraph" w:styleId="a6">
    <w:name w:val="List"/>
    <w:basedOn w:val="a5"/>
    <w:rsid w:val="00112AF1"/>
  </w:style>
  <w:style w:type="paragraph" w:customStyle="1" w:styleId="Caption">
    <w:name w:val="Caption"/>
    <w:basedOn w:val="a"/>
    <w:qFormat/>
    <w:rsid w:val="00112AF1"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rsid w:val="00112AF1"/>
    <w:pPr>
      <w:suppressLineNumbers/>
    </w:pPr>
  </w:style>
  <w:style w:type="paragraph" w:customStyle="1" w:styleId="a8">
    <w:name w:val="Содержимое таблицы"/>
    <w:basedOn w:val="a"/>
    <w:qFormat/>
    <w:rsid w:val="00112AF1"/>
    <w:pPr>
      <w:suppressLineNumbers/>
    </w:pPr>
  </w:style>
  <w:style w:type="paragraph" w:customStyle="1" w:styleId="a9">
    <w:name w:val="Заголовок таблицы"/>
    <w:basedOn w:val="a8"/>
    <w:qFormat/>
    <w:rsid w:val="00112AF1"/>
    <w:pPr>
      <w:jc w:val="center"/>
    </w:pPr>
    <w:rPr>
      <w:b/>
      <w:bCs/>
    </w:rPr>
  </w:style>
  <w:style w:type="numbering" w:customStyle="1" w:styleId="WW8Num1">
    <w:name w:val="WW8Num1"/>
    <w:qFormat/>
    <w:rsid w:val="00112AF1"/>
  </w:style>
  <w:style w:type="numbering" w:customStyle="1" w:styleId="WW8Num2">
    <w:name w:val="WW8Num2"/>
    <w:qFormat/>
    <w:rsid w:val="00112AF1"/>
  </w:style>
  <w:style w:type="numbering" w:customStyle="1" w:styleId="WW8Num3">
    <w:name w:val="WW8Num3"/>
    <w:qFormat/>
    <w:rsid w:val="00112AF1"/>
  </w:style>
  <w:style w:type="paragraph" w:styleId="aa">
    <w:name w:val="Balloon Text"/>
    <w:basedOn w:val="a"/>
    <w:link w:val="ab"/>
    <w:uiPriority w:val="99"/>
    <w:semiHidden/>
    <w:unhideWhenUsed/>
    <w:rsid w:val="005A1BD5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D5"/>
    <w:rPr>
      <w:rFonts w:ascii="Tahoma" w:eastAsia="SimSun" w:hAnsi="Tahoma" w:cs="Mangal"/>
      <w:kern w:val="2"/>
      <w:sz w:val="16"/>
      <w:szCs w:val="14"/>
    </w:rPr>
  </w:style>
  <w:style w:type="paragraph" w:customStyle="1" w:styleId="Style7">
    <w:name w:val="Style7"/>
    <w:basedOn w:val="a"/>
    <w:rsid w:val="00421CF2"/>
    <w:pPr>
      <w:suppressAutoHyphens w:val="0"/>
      <w:overflowPunct/>
      <w:autoSpaceDE w:val="0"/>
      <w:autoSpaceDN w:val="0"/>
      <w:adjustRightInd w:val="0"/>
      <w:spacing w:line="283" w:lineRule="exact"/>
      <w:ind w:firstLine="298"/>
    </w:pPr>
    <w:rPr>
      <w:rFonts w:cs="Times New Roman"/>
      <w:kern w:val="0"/>
      <w:sz w:val="24"/>
      <w:lang w:bidi="ar-SA"/>
    </w:rPr>
  </w:style>
  <w:style w:type="character" w:customStyle="1" w:styleId="FontStyle21">
    <w:name w:val="Font Style21"/>
    <w:rsid w:val="00421CF2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421CF2"/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421CF2"/>
    <w:rPr>
      <w:color w:val="0000FF"/>
      <w:u w:val="single"/>
    </w:rPr>
  </w:style>
  <w:style w:type="paragraph" w:customStyle="1" w:styleId="Style14">
    <w:name w:val="Style14"/>
    <w:basedOn w:val="a"/>
    <w:rsid w:val="000A556D"/>
    <w:pPr>
      <w:suppressAutoHyphens w:val="0"/>
      <w:overflowPunct/>
      <w:autoSpaceDE w:val="0"/>
      <w:autoSpaceDN w:val="0"/>
      <w:adjustRightInd w:val="0"/>
      <w:spacing w:line="322" w:lineRule="exact"/>
      <w:ind w:firstLine="547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9">
    <w:name w:val="Font Style19"/>
    <w:rsid w:val="000A556D"/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5B5B64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formattext">
    <w:name w:val="formattext"/>
    <w:basedOn w:val="a"/>
    <w:rsid w:val="001374AA"/>
    <w:pPr>
      <w:widowControl/>
      <w:suppressAutoHyphens w:val="0"/>
      <w:overflowPunct/>
      <w:spacing w:before="100" w:beforeAutospacing="1" w:after="100" w:afterAutospacing="1"/>
      <w:jc w:val="left"/>
    </w:pPr>
    <w:rPr>
      <w:rFonts w:eastAsia="Times New Roman" w:cs="Times New Roman"/>
      <w:kern w:val="0"/>
      <w:sz w:val="24"/>
      <w:lang w:eastAsia="ru-RU" w:bidi="ar-SA"/>
    </w:rPr>
  </w:style>
  <w:style w:type="paragraph" w:customStyle="1" w:styleId="ConsPlusTitle">
    <w:name w:val="ConsPlusTitle"/>
    <w:uiPriority w:val="99"/>
    <w:rsid w:val="00CC5394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ConsPlusNormal">
    <w:name w:val="ConsPlusNormal"/>
    <w:rsid w:val="006E08C2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customStyle="1" w:styleId="TableGrid">
    <w:name w:val="TableGrid"/>
    <w:rsid w:val="00F25191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7B925-C3C3-4871-B64C-5837AC42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1565</TotalTime>
  <Pages>11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Делопроизводитель</cp:lastModifiedBy>
  <cp:revision>44</cp:revision>
  <cp:lastPrinted>2022-02-24T07:29:00Z</cp:lastPrinted>
  <dcterms:created xsi:type="dcterms:W3CDTF">2021-08-30T04:51:00Z</dcterms:created>
  <dcterms:modified xsi:type="dcterms:W3CDTF">2022-03-03T06:29:00Z</dcterms:modified>
  <dc:language>ru-RU</dc:language>
</cp:coreProperties>
</file>